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pPr w:horzAnchor="page" w:tblpX="716" w:vertAnchor="text" w:tblpY="-228" w:leftFromText="180" w:topFromText="0" w:rightFromText="180" w:bottomFromText="0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227"/>
        <w:gridCol w:w="2268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7" w:type="dxa"/>
            <w:textDirection w:val="lrTb"/>
            <w:noWrap w:val="false"/>
          </w:tcPr>
          <w:p>
            <w:pPr>
              <w:ind w:right="-896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  <w:t xml:space="preserve">Номер ТЗ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ind w:right="-896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7" w:type="dxa"/>
            <w:textDirection w:val="lrTb"/>
            <w:noWrap w:val="false"/>
          </w:tcPr>
          <w:p>
            <w:pPr>
              <w:ind w:right="-896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-896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  <w:t xml:space="preserve">КИСУР (ПО </w:t>
            </w:r>
            <w:r>
              <w:rPr>
                <w:b/>
                <w:lang w:val="en-US"/>
              </w:rPr>
              <w:t xml:space="preserve">SAP</w:t>
            </w:r>
            <w:r>
              <w:rPr>
                <w:b/>
              </w:rPr>
              <w:t xml:space="preserve">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2399308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95" w:type="dxa"/>
            <w:textDirection w:val="lrTb"/>
            <w:noWrap w:val="false"/>
          </w:tcPr>
          <w:p>
            <w:pPr>
              <w:ind w:right="-2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  <w:t xml:space="preserve">Предоставление национального режима в соответствии с ПП 1875 от 23.12.2024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7" w:type="dxa"/>
            <w:textDirection w:val="lrTb"/>
            <w:noWrap w:val="false"/>
          </w:tcPr>
          <w:p>
            <w:pPr>
              <w:ind w:right="-2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  <w:t xml:space="preserve">ОКПД 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ind w:right="-2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  <w:t xml:space="preserve">13.92.29.190</w:t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7" w:type="dxa"/>
            <w:textDirection w:val="lrTb"/>
            <w:noWrap w:val="false"/>
          </w:tcPr>
          <w:p>
            <w:pPr>
              <w:ind w:right="-2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  <w:t xml:space="preserve">Мера применения национального режима (запрет, ограничение, преимущество)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ind w:right="-2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  <w:t xml:space="preserve">Запрет, исключения по п. 5 подпункт «и» ПП РФ № 1875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ind w:right="-2"/>
        <w:jc w:val="right"/>
        <w:spacing w:line="276" w:lineRule="auto"/>
        <w:tabs>
          <w:tab w:val="right" w:pos="10207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-2"/>
        <w:jc w:val="right"/>
        <w:spacing w:line="276" w:lineRule="auto"/>
        <w:tabs>
          <w:tab w:val="right" w:pos="10207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left="5103"/>
        <w:widowControl w:val="off"/>
      </w:pPr>
      <w:r>
        <w:t xml:space="preserve">УТВЕРЖДАЮ:</w:t>
      </w:r>
      <w:r/>
    </w:p>
    <w:p>
      <w:pPr>
        <w:ind w:left="5103"/>
        <w:widowControl w:val="off"/>
      </w:pPr>
      <w:r/>
      <w:r/>
    </w:p>
    <w:p>
      <w:pPr>
        <w:ind w:left="4820"/>
        <w:widowControl w:val="off"/>
      </w:pPr>
      <w:r>
        <w:t xml:space="preserve">Первый заместитель директора – главный инженер филиала ПАО «Россети Центр и Приволжье» – «Рязаньэнерго»</w:t>
      </w:r>
      <w:r>
        <w:tab/>
      </w:r>
      <w:r/>
    </w:p>
    <w:p>
      <w:pPr>
        <w:ind w:left="4820"/>
        <w:widowControl w:val="off"/>
      </w:pPr>
      <w:r/>
      <w:r/>
    </w:p>
    <w:p>
      <w:pPr>
        <w:ind w:left="4820"/>
        <w:widowControl w:val="off"/>
      </w:pPr>
      <w:r>
        <w:t xml:space="preserve">____________________ А. А. Корнилов</w:t>
      </w:r>
      <w:r/>
    </w:p>
    <w:p>
      <w:pPr>
        <w:ind w:left="4820"/>
        <w:widowControl w:val="off"/>
      </w:pPr>
      <w:r>
        <w:t xml:space="preserve">____________________________202</w:t>
      </w:r>
      <w:r>
        <w:t xml:space="preserve">6</w:t>
      </w:r>
      <w:r>
        <w:t xml:space="preserve"> г.</w:t>
      </w:r>
      <w:r/>
    </w:p>
    <w:p>
      <w:pPr>
        <w:ind w:left="-360" w:right="-82" w:firstLine="900"/>
        <w:jc w:val="both"/>
        <w:tabs>
          <w:tab w:val="left" w:pos="594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line="276" w:lineRule="auto"/>
        <w:rPr>
          <w:b/>
        </w:rPr>
      </w:pPr>
      <w:r/>
      <w:bookmarkStart w:id="0" w:name="_GoBack"/>
      <w:r/>
      <w:bookmarkEnd w:id="0"/>
      <w:r>
        <w:rPr>
          <w:b/>
        </w:rPr>
      </w:r>
      <w:r>
        <w:rPr>
          <w:b/>
        </w:rPr>
      </w:r>
    </w:p>
    <w:p>
      <w:pPr>
        <w:pStyle w:val="890"/>
        <w:numPr>
          <w:ilvl w:val="0"/>
          <w:numId w:val="0"/>
        </w:numPr>
        <w:spacing w:after="120"/>
      </w:pPr>
      <w:r>
        <w:t xml:space="preserve">ТЕХНИЧЕСКОЕ ЗАДАНИЕ</w:t>
      </w:r>
      <w:r/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с</w:t>
      </w:r>
      <w:r>
        <w:rPr>
          <w:b/>
          <w:sz w:val="26"/>
          <w:szCs w:val="26"/>
        </w:rPr>
        <w:t xml:space="preserve">ум</w:t>
      </w:r>
      <w:r>
        <w:rPr>
          <w:b/>
          <w:sz w:val="26"/>
          <w:szCs w:val="26"/>
        </w:rPr>
        <w:t xml:space="preserve">ок</w:t>
      </w:r>
      <w:r>
        <w:rPr>
          <w:b/>
          <w:sz w:val="26"/>
          <w:szCs w:val="26"/>
        </w:rPr>
        <w:t xml:space="preserve"> для инструмента Meister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или эквивалента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Лот № 311</w:t>
      </w:r>
      <w:r>
        <w:rPr>
          <w:b/>
          <w:sz w:val="26"/>
          <w:szCs w:val="26"/>
          <w:lang w:val="en-US"/>
        </w:rPr>
        <w:t xml:space="preserve">C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</w:pPr>
      <w:r/>
      <w:r/>
    </w:p>
    <w:p>
      <w:pPr>
        <w:pStyle w:val="939"/>
        <w:numPr>
          <w:ilvl w:val="0"/>
          <w:numId w:val="21"/>
        </w:numPr>
        <w:ind w:left="0" w:firstLine="851"/>
        <w:spacing w:line="276" w:lineRule="auto"/>
        <w:tabs>
          <w:tab w:val="left" w:pos="993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Технические требования к продукции.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spacing w:line="276" w:lineRule="auto"/>
        <w:rPr>
          <w:bCs/>
          <w:color w:val="000000"/>
          <w:sz w:val="12"/>
          <w:szCs w:val="12"/>
        </w:rPr>
      </w:pPr>
      <w:r>
        <w:t xml:space="preserve">1.1 Технические требования и характеристики инструментов должны соответствовать значениям, приведенным в Приложении к ТЗ (в приложении ссылки на конкретный тип прод</w:t>
      </w:r>
      <w:r>
        <w:t xml:space="preserve">укции, производителя, торговые марки и знаки носят лишь описательный, а не обязательный характер, участник закупки может представить в своей заявке иные типы продукции, при условии, что произведенные замены совместимы между собой, по существу, равноценны (</w:t>
      </w:r>
      <w:r>
        <w:t xml:space="preserve">эквивалентны</w:t>
      </w:r>
      <w:r>
        <w:t xml:space="preserve">) или превосходят по качеству требуемую продукцию).</w:t>
      </w:r>
      <w:r>
        <w:rPr>
          <w:bCs/>
          <w:color w:val="000000"/>
          <w:sz w:val="12"/>
          <w:szCs w:val="12"/>
        </w:rPr>
      </w:r>
      <w:r>
        <w:rPr>
          <w:bCs/>
          <w:color w:val="000000"/>
          <w:sz w:val="12"/>
          <w:szCs w:val="12"/>
        </w:rPr>
      </w:r>
    </w:p>
    <w:p>
      <w:pPr>
        <w:pStyle w:val="939"/>
        <w:numPr>
          <w:ilvl w:val="0"/>
          <w:numId w:val="21"/>
        </w:numPr>
        <w:ind w:left="0" w:firstLine="709"/>
        <w:spacing w:line="276" w:lineRule="auto"/>
        <w:tabs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939"/>
        <w:numPr>
          <w:ilvl w:val="1"/>
          <w:numId w:val="23"/>
        </w:numPr>
        <w:ind w:left="0" w:firstLine="709"/>
        <w:spacing w:line="276" w:lineRule="auto"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инструменты, отвечающие следующим требованиям: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9"/>
        <w:numPr>
          <w:ilvl w:val="0"/>
          <w:numId w:val="24"/>
        </w:numPr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быть новой, ранее не использованной;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9"/>
        <w:numPr>
          <w:ilvl w:val="0"/>
          <w:numId w:val="24"/>
        </w:numPr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9"/>
        <w:numPr>
          <w:ilvl w:val="0"/>
          <w:numId w:val="22"/>
        </w:numPr>
        <w:ind w:left="0" w:firstLine="709"/>
        <w:spacing w:line="276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для российских производителей – наличие ТУ, подтверждающих соответствие техническим требованиям;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9"/>
        <w:numPr>
          <w:ilvl w:val="0"/>
          <w:numId w:val="22"/>
        </w:numPr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ПАО «Россети».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9"/>
        <w:numPr>
          <w:ilvl w:val="1"/>
          <w:numId w:val="21"/>
        </w:numPr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При поставке товара Поставщик обязан представить технические условия, руководство по эксплуатации, технический паспорт и/или иную сопроводительн</w:t>
      </w:r>
      <w:r>
        <w:rPr>
          <w:bCs/>
          <w:sz w:val="24"/>
          <w:szCs w:val="24"/>
        </w:rPr>
        <w:t xml:space="preserve">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2.3. Упаковка, транспортирование, условия и сроки хранения.</w:t>
      </w:r>
      <w:r>
        <w:rPr>
          <w:szCs w:val="24"/>
        </w:rPr>
      </w:r>
      <w:r>
        <w:rPr>
          <w:szCs w:val="24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Упаковка, маркировка, транспортирование, услов</w:t>
      </w:r>
      <w:r>
        <w:rPr>
          <w:szCs w:val="24"/>
        </w:rPr>
        <w:t xml:space="preserve">ия и сроки хранения стройматериалов должны соответствовать требованиям, указанным в технических условиях изготовителя продукции, ГОСТ 14192. Погрузочно-разгрузочные работы должны производиться в соответствии с требованиями ГОСТ 12.3.009. Порядок отгрузки, </w:t>
      </w:r>
      <w:r>
        <w:rPr>
          <w:szCs w:val="24"/>
        </w:rPr>
        <w:t xml:space="preserve">специальные требования к таре и упаковке должны быть определены в договоре на поставку продукции.</w:t>
      </w:r>
      <w:r>
        <w:rPr>
          <w:szCs w:val="24"/>
        </w:rPr>
      </w:r>
      <w:r>
        <w:rPr>
          <w:szCs w:val="24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Способ укладки и транспортировки инструментов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  <w:r>
        <w:rPr>
          <w:szCs w:val="24"/>
        </w:rPr>
      </w:r>
      <w:r>
        <w:rPr>
          <w:szCs w:val="24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Упаковка инструментов должна производиться в соответствии с требованиями нормативно-технической документации на конкретные типы стройматериалов.</w:t>
      </w:r>
      <w:r>
        <w:rPr>
          <w:szCs w:val="24"/>
        </w:rPr>
      </w:r>
      <w:r>
        <w:rPr>
          <w:szCs w:val="24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Инструменты должны быть упакованы в ящики, изготовленные по нормативно-технической документации в соответствии с требованиями ГОСТ 2991, ГОСТ 5959. В один ящик со Инструменты должен быть вложен упаковочный лист.</w:t>
      </w:r>
      <w:r>
        <w:rPr>
          <w:szCs w:val="24"/>
        </w:rPr>
      </w:r>
      <w:r>
        <w:rPr>
          <w:szCs w:val="24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2.5. Срок изготовления инструментов должен быть не более полугода от момента поставки.</w:t>
      </w:r>
      <w:r>
        <w:rPr>
          <w:szCs w:val="24"/>
        </w:rPr>
      </w:r>
      <w:r>
        <w:rPr>
          <w:szCs w:val="24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Гарантийные обязательства.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</w:t>
      </w:r>
      <w:r>
        <w:rPr>
          <w:szCs w:val="24"/>
        </w:rPr>
        <w:t xml:space="preserve">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стройматериалов из строя, Поставщик обязан направить своего представителя для участия </w:t>
      </w:r>
      <w:r>
        <w:rPr>
          <w:szCs w:val="24"/>
        </w:rPr>
        <w:t xml:space="preserve">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  <w:r>
        <w:rPr>
          <w:szCs w:val="24"/>
        </w:rPr>
      </w:r>
      <w:r>
        <w:rPr>
          <w:szCs w:val="24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Требования к надежности и живучести продукции.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5 лет.</w:t>
      </w:r>
      <w:r>
        <w:rPr>
          <w:szCs w:val="24"/>
        </w:rPr>
      </w:r>
      <w:r>
        <w:rPr>
          <w:szCs w:val="24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Маркировка, состав технической и эксплуатационной документации.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В комплект поставки инструментов</w:t>
      </w:r>
      <w:r>
        <w:rPr>
          <w:szCs w:val="24"/>
        </w:rPr>
        <w:t xml:space="preserve"> </w:t>
      </w:r>
      <w:r>
        <w:rPr>
          <w:szCs w:val="24"/>
        </w:rPr>
        <w:t xml:space="preserve">должны входить документы: </w:t>
      </w:r>
      <w:r>
        <w:rPr>
          <w:szCs w:val="24"/>
        </w:rPr>
      </w:r>
      <w:r>
        <w:rPr>
          <w:szCs w:val="24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- паспорт по нормативной документации, утвержденной в установленном порядке;</w:t>
      </w:r>
      <w:r>
        <w:rPr>
          <w:szCs w:val="24"/>
        </w:rPr>
      </w:r>
      <w:r>
        <w:rPr>
          <w:szCs w:val="24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- эксплуатационные документы, утвержденные в установленном порядке на русском языке;</w:t>
      </w:r>
      <w:r>
        <w:rPr>
          <w:szCs w:val="24"/>
        </w:rPr>
      </w:r>
      <w:r>
        <w:rPr>
          <w:szCs w:val="24"/>
        </w:rPr>
      </w:r>
    </w:p>
    <w:p>
      <w:pPr>
        <w:pStyle w:val="939"/>
        <w:ind w:left="0" w:firstLine="709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поставляемую продукцию, на русском языке.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9"/>
        <w:ind w:left="0" w:firstLine="709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Маркировка инструментов должна соответствовать требованиям </w:t>
      </w:r>
      <w:r>
        <w:rPr>
          <w:color w:val="000000"/>
          <w:sz w:val="24"/>
          <w:szCs w:val="24"/>
        </w:rPr>
        <w:t xml:space="preserve">ГОСТ 14192</w:t>
      </w:r>
      <w:r>
        <w:rPr>
          <w:sz w:val="24"/>
          <w:szCs w:val="24"/>
        </w:rPr>
        <w:t xml:space="preserve"> (для конкретного типа номенклатуры). Маркировка инструментов, содержание и способ нанесения ее указывается в стандартах или технических условиях на инструменты конкретных типов.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9"/>
        <w:ind w:left="0" w:firstLine="709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Маркировка инструментов производится непосредственно на изделии или ярлыке.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9"/>
        <w:ind w:left="0" w:firstLine="709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Для инструментов,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9"/>
        <w:ind w:left="0" w:firstLine="709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всем видам инструментов Постав</w:t>
      </w:r>
      <w:r>
        <w:rPr>
          <w:sz w:val="24"/>
          <w:szCs w:val="24"/>
        </w:rPr>
        <w:t xml:space="preserve">щик должен предоставить полный комплект технической и эксплуатационной документации на русском языке, подготовленной в соответствии с ГОСТ 2.601 по монтажу, обеспечению правильной и безопасной эксплуатации, технического обслуживания поставляемой продукции.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76" w:lineRule="auto"/>
        <w:tabs>
          <w:tab w:val="left" w:pos="1134" w:leader="none"/>
        </w:tabs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 xml:space="preserve">6. Правила приемки продукции.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Каждая партия инструментов должна пройти входной контроль, осуществляемый представителями филиалов ПАО «Россети Центр» / ПАО «Россети Центр и Приволжье и ответственными представителями Поставщика при получении их на склад.</w:t>
      </w:r>
      <w:r>
        <w:rPr>
          <w:szCs w:val="24"/>
        </w:rPr>
      </w:r>
      <w:r>
        <w:rPr>
          <w:szCs w:val="24"/>
        </w:rPr>
      </w:r>
    </w:p>
    <w:p>
      <w:pPr>
        <w:jc w:val="both"/>
        <w:spacing w:line="276" w:lineRule="auto"/>
        <w:rPr>
          <w:b/>
        </w:rPr>
      </w:pPr>
      <w:r>
        <w:t xml:space="preserve">В случае выявления дефектов, в том числе и скрытых, Поставщик обязан за свой счет заменить поставленную продукцию.</w:t>
      </w:r>
      <w:r>
        <w:rPr>
          <w:b/>
        </w:rPr>
      </w:r>
      <w:r>
        <w:rPr>
          <w:b/>
        </w:rPr>
      </w:r>
    </w:p>
    <w:p>
      <w:pPr>
        <w:jc w:val="center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spacing w:line="276" w:lineRule="auto"/>
      </w:pPr>
      <w:r/>
      <w:r/>
    </w:p>
    <w:p>
      <w:pPr>
        <w:jc w:val="both"/>
      </w:pPr>
      <w:r>
        <w:t xml:space="preserve">Начальник отдела эксплуатации </w:t>
      </w:r>
      <w:r/>
    </w:p>
    <w:p>
      <w:pPr>
        <w:jc w:val="both"/>
        <w:rPr>
          <w:b/>
        </w:rPr>
      </w:pPr>
      <w:r>
        <w:t xml:space="preserve">и развития систем учета                                                  </w:t>
      </w:r>
      <w:r>
        <w:t xml:space="preserve">             </w:t>
      </w:r>
      <w:r>
        <w:t xml:space="preserve">                  С. М. Товстоган</w:t>
      </w:r>
      <w:r>
        <w:rPr>
          <w:b/>
        </w:rPr>
      </w:r>
      <w:r>
        <w:rPr>
          <w:b/>
        </w:rPr>
      </w:r>
    </w:p>
    <w:sectPr>
      <w:footnotePr/>
      <w:endnotePr/>
      <w:type w:val="nextPage"/>
      <w:pgSz w:w="11906" w:h="16838" w:orient="portrait"/>
      <w:pgMar w:top="709" w:right="851" w:bottom="680" w:left="1701" w:header="425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Calibri">
    <w:panose1 w:val="020F0502020204030204"/>
  </w:font>
  <w:font w:name="Helvetica, sans-serif">
    <w:panose1 w:val="02000603000000000000"/>
  </w:font>
  <w:font w:name="Verdana">
    <w:panose1 w:val="020B06040305040402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2203" w:hanging="360"/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83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3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63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95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09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588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0" w:hanging="531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3.7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3.7.%2."/>
      <w:lvlJc w:val="left"/>
      <w:pPr>
        <w:ind w:left="1142" w:hanging="432"/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 w:ascii="Helvetica, sans-serif" w:hAnsi="Helvetica, sans-serif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71" w:hanging="360"/>
        <w:tabs>
          <w:tab w:val="num" w:pos="1571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35" w:hanging="48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sz w:val="26"/>
        <w:szCs w:val="26"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pStyle w:val="899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785" w:hanging="108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5" w:hanging="108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upperRoman"/>
      <w:pStyle w:val="889"/>
      <w:isLgl w:val="false"/>
      <w:suff w:val="tab"/>
      <w:lvlText w:val="Статья %1."/>
      <w:lvlJc w:val="left"/>
      <w:pPr>
        <w:ind w:left="0" w:firstLine="0"/>
        <w:tabs>
          <w:tab w:val="num" w:pos="1440" w:leader="none"/>
        </w:tabs>
      </w:pPr>
    </w:lvl>
    <w:lvl w:ilvl="1">
      <w:start w:val="1"/>
      <w:numFmt w:val="decimalZero"/>
      <w:pStyle w:val="890"/>
      <w:isLgl/>
      <w:suff w:val="tab"/>
      <w:lvlText w:val="Раздел %1.%2"/>
      <w:lvlJc w:val="left"/>
      <w:pPr>
        <w:ind w:left="0" w:firstLine="0"/>
        <w:tabs>
          <w:tab w:val="num" w:pos="1080" w:leader="none"/>
        </w:tabs>
      </w:pPr>
    </w:lvl>
    <w:lvl w:ilvl="2">
      <w:start w:val="1"/>
      <w:numFmt w:val="lowerLetter"/>
      <w:isLgl w:val="false"/>
      <w:suff w:val="tab"/>
      <w:lvlText w:val="(%3)"/>
      <w:lvlJc w:val="left"/>
      <w:pPr>
        <w:ind w:left="720" w:hanging="432"/>
        <w:tabs>
          <w:tab w:val="num" w:pos="720" w:leader="none"/>
        </w:tabs>
      </w:pPr>
    </w:lvl>
    <w:lvl w:ilvl="3">
      <w:start w:val="1"/>
      <w:numFmt w:val="lowerRoman"/>
      <w:isLgl w:val="false"/>
      <w:suff w:val="tab"/>
      <w:lvlText w:val="(%4)"/>
      <w:lvlJc w:val="right"/>
      <w:pPr>
        <w:ind w:left="864" w:hanging="14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5)"/>
      <w:lvlJc w:val="left"/>
      <w:pPr>
        <w:ind w:left="1008" w:hanging="432"/>
        <w:tabs>
          <w:tab w:val="num" w:pos="1008" w:leader="none"/>
        </w:tabs>
      </w:pPr>
    </w:lvl>
    <w:lvl w:ilvl="5">
      <w:start w:val="1"/>
      <w:numFmt w:val="lowerLetter"/>
      <w:isLgl w:val="false"/>
      <w:suff w:val="tab"/>
      <w:lvlText w:val="%6)"/>
      <w:lvlJc w:val="left"/>
      <w:pPr>
        <w:ind w:left="1152" w:hanging="432"/>
        <w:tabs>
          <w:tab w:val="num" w:pos="1152" w:leader="none"/>
        </w:tabs>
      </w:pPr>
    </w:lvl>
    <w:lvl w:ilvl="6">
      <w:start w:val="1"/>
      <w:numFmt w:val="lowerRoman"/>
      <w:isLgl w:val="false"/>
      <w:suff w:val="tab"/>
      <w:lvlText w:val="%7)"/>
      <w:lvlJc w:val="right"/>
      <w:pPr>
        <w:ind w:left="1296" w:hanging="288"/>
        <w:tabs>
          <w:tab w:val="num" w:pos="1296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1440" w:hanging="432"/>
        <w:tabs>
          <w:tab w:val="num" w:pos="14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1584" w:hanging="144"/>
        <w:tabs>
          <w:tab w:val="num" w:pos="1584" w:leader="none"/>
        </w:tabs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5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11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51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71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11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31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71" w:hanging="360"/>
      </w:pPr>
      <w:rPr>
        <w:rFonts w:ascii="Wingdings" w:hAnsi="Wingdings"/>
      </w:rPr>
    </w:lvl>
  </w:abstractNum>
  <w:num w:numId="1">
    <w:abstractNumId w:val="14"/>
  </w:num>
  <w:num w:numId="2">
    <w:abstractNumId w:val="11"/>
  </w:num>
  <w:num w:numId="3">
    <w:abstractNumId w:val="13"/>
  </w:num>
  <w:num w:numId="4">
    <w:abstractNumId w:val="1"/>
  </w:num>
  <w:num w:numId="5">
    <w:abstractNumId w:val="15"/>
  </w:num>
  <w:num w:numId="6">
    <w:abstractNumId w:val="10"/>
  </w:num>
  <w:num w:numId="7">
    <w:abstractNumId w:val="18"/>
  </w:num>
  <w:num w:numId="8">
    <w:abstractNumId w:val="6"/>
  </w:num>
  <w:num w:numId="9">
    <w:abstractNumId w:val="20"/>
  </w:num>
  <w:num w:numId="10">
    <w:abstractNumId w:val="17"/>
  </w:num>
  <w:num w:numId="11">
    <w:abstractNumId w:val="8"/>
  </w:num>
  <w:num w:numId="12">
    <w:abstractNumId w:val="9"/>
  </w:num>
  <w:num w:numId="13">
    <w:abstractNumId w:val="19"/>
  </w:num>
  <w:num w:numId="14">
    <w:abstractNumId w:val="4"/>
  </w:num>
  <w:num w:numId="15">
    <w:abstractNumId w:val="2"/>
  </w:num>
  <w:num w:numId="16">
    <w:abstractNumId w:val="5"/>
  </w:num>
  <w:num w:numId="17">
    <w:abstractNumId w:val="12"/>
  </w:num>
  <w:num w:numId="18">
    <w:abstractNumId w:val="3"/>
  </w:num>
  <w:num w:numId="19">
    <w:abstractNumId w:val="0"/>
  </w:num>
  <w:num w:numId="20">
    <w:abstractNumId w:val="7"/>
  </w:num>
  <w:num w:numId="21">
    <w:abstractNumId w:val="16"/>
  </w:num>
  <w:num w:numId="22">
    <w:abstractNumId w:val="22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9">
    <w:name w:val="Heading 1 Char"/>
    <w:basedOn w:val="892"/>
    <w:link w:val="889"/>
    <w:uiPriority w:val="9"/>
    <w:rPr>
      <w:rFonts w:ascii="Arial" w:hAnsi="Arial" w:eastAsia="Arial" w:cs="Arial"/>
      <w:sz w:val="40"/>
      <w:szCs w:val="40"/>
    </w:rPr>
  </w:style>
  <w:style w:type="character" w:styleId="720">
    <w:name w:val="Heading 2 Char"/>
    <w:basedOn w:val="892"/>
    <w:link w:val="890"/>
    <w:uiPriority w:val="9"/>
    <w:rPr>
      <w:rFonts w:ascii="Arial" w:hAnsi="Arial" w:eastAsia="Arial" w:cs="Arial"/>
      <w:sz w:val="34"/>
    </w:rPr>
  </w:style>
  <w:style w:type="character" w:styleId="721">
    <w:name w:val="Heading 3 Char"/>
    <w:basedOn w:val="892"/>
    <w:link w:val="891"/>
    <w:uiPriority w:val="9"/>
    <w:rPr>
      <w:rFonts w:ascii="Arial" w:hAnsi="Arial" w:eastAsia="Arial" w:cs="Arial"/>
      <w:sz w:val="30"/>
      <w:szCs w:val="30"/>
    </w:rPr>
  </w:style>
  <w:style w:type="paragraph" w:styleId="722">
    <w:name w:val="Heading 4"/>
    <w:basedOn w:val="888"/>
    <w:next w:val="888"/>
    <w:link w:val="72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3">
    <w:name w:val="Heading 4 Char"/>
    <w:basedOn w:val="892"/>
    <w:link w:val="722"/>
    <w:uiPriority w:val="9"/>
    <w:rPr>
      <w:rFonts w:ascii="Arial" w:hAnsi="Arial" w:eastAsia="Arial" w:cs="Arial"/>
      <w:b/>
      <w:bCs/>
      <w:sz w:val="26"/>
      <w:szCs w:val="26"/>
    </w:rPr>
  </w:style>
  <w:style w:type="paragraph" w:styleId="724">
    <w:name w:val="Heading 5"/>
    <w:basedOn w:val="888"/>
    <w:next w:val="888"/>
    <w:link w:val="72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5">
    <w:name w:val="Heading 5 Char"/>
    <w:basedOn w:val="892"/>
    <w:link w:val="724"/>
    <w:uiPriority w:val="9"/>
    <w:rPr>
      <w:rFonts w:ascii="Arial" w:hAnsi="Arial" w:eastAsia="Arial" w:cs="Arial"/>
      <w:b/>
      <w:bCs/>
      <w:sz w:val="24"/>
      <w:szCs w:val="24"/>
    </w:rPr>
  </w:style>
  <w:style w:type="paragraph" w:styleId="726">
    <w:name w:val="Heading 6"/>
    <w:basedOn w:val="888"/>
    <w:next w:val="888"/>
    <w:link w:val="72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7">
    <w:name w:val="Heading 6 Char"/>
    <w:basedOn w:val="892"/>
    <w:link w:val="726"/>
    <w:uiPriority w:val="9"/>
    <w:rPr>
      <w:rFonts w:ascii="Arial" w:hAnsi="Arial" w:eastAsia="Arial" w:cs="Arial"/>
      <w:b/>
      <w:bCs/>
      <w:sz w:val="22"/>
      <w:szCs w:val="22"/>
    </w:rPr>
  </w:style>
  <w:style w:type="paragraph" w:styleId="728">
    <w:name w:val="Heading 7"/>
    <w:basedOn w:val="888"/>
    <w:next w:val="888"/>
    <w:link w:val="72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9">
    <w:name w:val="Heading 7 Char"/>
    <w:basedOn w:val="892"/>
    <w:link w:val="72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0">
    <w:name w:val="Heading 8"/>
    <w:basedOn w:val="888"/>
    <w:next w:val="888"/>
    <w:link w:val="73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1">
    <w:name w:val="Heading 8 Char"/>
    <w:basedOn w:val="892"/>
    <w:link w:val="730"/>
    <w:uiPriority w:val="9"/>
    <w:rPr>
      <w:rFonts w:ascii="Arial" w:hAnsi="Arial" w:eastAsia="Arial" w:cs="Arial"/>
      <w:i/>
      <w:iCs/>
      <w:sz w:val="22"/>
      <w:szCs w:val="22"/>
    </w:rPr>
  </w:style>
  <w:style w:type="paragraph" w:styleId="732">
    <w:name w:val="Heading 9"/>
    <w:basedOn w:val="888"/>
    <w:next w:val="888"/>
    <w:link w:val="73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3">
    <w:name w:val="Heading 9 Char"/>
    <w:basedOn w:val="892"/>
    <w:link w:val="732"/>
    <w:uiPriority w:val="9"/>
    <w:rPr>
      <w:rFonts w:ascii="Arial" w:hAnsi="Arial" w:eastAsia="Arial" w:cs="Arial"/>
      <w:i/>
      <w:iCs/>
      <w:sz w:val="21"/>
      <w:szCs w:val="21"/>
    </w:rPr>
  </w:style>
  <w:style w:type="paragraph" w:styleId="734">
    <w:name w:val="Title"/>
    <w:basedOn w:val="888"/>
    <w:next w:val="888"/>
    <w:link w:val="7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5">
    <w:name w:val="Title Char"/>
    <w:basedOn w:val="892"/>
    <w:link w:val="734"/>
    <w:uiPriority w:val="10"/>
    <w:rPr>
      <w:sz w:val="48"/>
      <w:szCs w:val="48"/>
    </w:rPr>
  </w:style>
  <w:style w:type="paragraph" w:styleId="736">
    <w:name w:val="Subtitle"/>
    <w:basedOn w:val="888"/>
    <w:next w:val="888"/>
    <w:link w:val="737"/>
    <w:uiPriority w:val="11"/>
    <w:qFormat/>
    <w:pPr>
      <w:spacing w:before="200" w:after="200"/>
    </w:pPr>
    <w:rPr>
      <w:sz w:val="24"/>
      <w:szCs w:val="24"/>
    </w:rPr>
  </w:style>
  <w:style w:type="character" w:styleId="737">
    <w:name w:val="Subtitle Char"/>
    <w:basedOn w:val="892"/>
    <w:link w:val="736"/>
    <w:uiPriority w:val="11"/>
    <w:rPr>
      <w:sz w:val="24"/>
      <w:szCs w:val="24"/>
    </w:rPr>
  </w:style>
  <w:style w:type="paragraph" w:styleId="738">
    <w:name w:val="Quote"/>
    <w:basedOn w:val="888"/>
    <w:next w:val="888"/>
    <w:link w:val="739"/>
    <w:uiPriority w:val="29"/>
    <w:qFormat/>
    <w:pPr>
      <w:ind w:left="720" w:right="720"/>
    </w:pPr>
    <w:rPr>
      <w:i/>
    </w:rPr>
  </w:style>
  <w:style w:type="character" w:styleId="739">
    <w:name w:val="Quote Char"/>
    <w:link w:val="738"/>
    <w:uiPriority w:val="29"/>
    <w:rPr>
      <w:i/>
    </w:rPr>
  </w:style>
  <w:style w:type="paragraph" w:styleId="740">
    <w:name w:val="Intense Quote"/>
    <w:basedOn w:val="888"/>
    <w:next w:val="888"/>
    <w:link w:val="7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1">
    <w:name w:val="Intense Quote Char"/>
    <w:link w:val="740"/>
    <w:uiPriority w:val="30"/>
    <w:rPr>
      <w:i/>
    </w:rPr>
  </w:style>
  <w:style w:type="character" w:styleId="742">
    <w:name w:val="Header Char"/>
    <w:basedOn w:val="892"/>
    <w:link w:val="919"/>
    <w:uiPriority w:val="99"/>
  </w:style>
  <w:style w:type="character" w:styleId="743">
    <w:name w:val="Footer Char"/>
    <w:basedOn w:val="892"/>
    <w:link w:val="910"/>
    <w:uiPriority w:val="99"/>
  </w:style>
  <w:style w:type="paragraph" w:styleId="744">
    <w:name w:val="Caption"/>
    <w:basedOn w:val="888"/>
    <w:next w:val="8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5">
    <w:name w:val="Caption Char"/>
    <w:basedOn w:val="744"/>
    <w:link w:val="910"/>
    <w:uiPriority w:val="99"/>
  </w:style>
  <w:style w:type="table" w:styleId="746">
    <w:name w:val="Table Grid Light"/>
    <w:basedOn w:val="89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7">
    <w:name w:val="Plain Table 1"/>
    <w:basedOn w:val="89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8">
    <w:name w:val="Plain Table 2"/>
    <w:basedOn w:val="89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9">
    <w:name w:val="Plain Table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0">
    <w:name w:val="Plain Table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Plain Table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2">
    <w:name w:val="Grid Table 1 Light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4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4">
    <w:name w:val="Grid Table 4 - Accent 1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5">
    <w:name w:val="Grid Table 4 - Accent 2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6">
    <w:name w:val="Grid Table 4 - Accent 3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7">
    <w:name w:val="Grid Table 4 - Accent 4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8">
    <w:name w:val="Grid Table 4 - Accent 5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9">
    <w:name w:val="Grid Table 4 - Accent 6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0">
    <w:name w:val="Grid Table 5 Dark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1">
    <w:name w:val="Grid Table 5 Dark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2">
    <w:name w:val="Grid Table 5 Dark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4">
    <w:name w:val="Grid Table 5 Dark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5">
    <w:name w:val="Grid Table 5 Dark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7">
    <w:name w:val="Grid Table 6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8">
    <w:name w:val="Grid Table 6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9">
    <w:name w:val="Grid Table 6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0">
    <w:name w:val="Grid Table 6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1">
    <w:name w:val="Grid Table 6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2">
    <w:name w:val="Grid Table 6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3">
    <w:name w:val="Grid Table 6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4">
    <w:name w:val="Grid Table 7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9">
    <w:name w:val="List Table 2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0">
    <w:name w:val="List Table 2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1">
    <w:name w:val="List Table 2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2">
    <w:name w:val="List Table 2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3">
    <w:name w:val="List Table 2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4">
    <w:name w:val="List Table 2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5">
    <w:name w:val="List Table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5 Dark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6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7">
    <w:name w:val="List Table 6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8">
    <w:name w:val="List Table 6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9">
    <w:name w:val="List Table 6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0">
    <w:name w:val="List Table 6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1">
    <w:name w:val="List Table 6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2">
    <w:name w:val="List Table 6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3">
    <w:name w:val="List Table 7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4">
    <w:name w:val="List Table 7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5">
    <w:name w:val="List Table 7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6">
    <w:name w:val="List Table 7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7">
    <w:name w:val="List Table 7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8">
    <w:name w:val="List Table 7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9">
    <w:name w:val="List Table 7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0">
    <w:name w:val="Lined - Accent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1">
    <w:name w:val="Lined - Accent 1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2">
    <w:name w:val="Lined - Accent 2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3">
    <w:name w:val="Lined - Accent 3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4">
    <w:name w:val="Lined - Accent 4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5">
    <w:name w:val="Lined - Accent 5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6">
    <w:name w:val="Lined - Accent 6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7">
    <w:name w:val="Bordered &amp; Lined - Accent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8">
    <w:name w:val="Bordered &amp; Lined - Accent 1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9">
    <w:name w:val="Bordered &amp; Lined - Accent 2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0">
    <w:name w:val="Bordered &amp; Lined - Accent 3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1">
    <w:name w:val="Bordered &amp; Lined - Accent 4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2">
    <w:name w:val="Bordered &amp; Lined - Accent 5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3">
    <w:name w:val="Bordered &amp; Lined - Accent 6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4">
    <w:name w:val="Bordered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5">
    <w:name w:val="Bordered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6">
    <w:name w:val="Bordered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7">
    <w:name w:val="Bordered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8">
    <w:name w:val="Bordered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9">
    <w:name w:val="Bordered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0">
    <w:name w:val="Bordered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71">
    <w:name w:val="footnote text"/>
    <w:basedOn w:val="888"/>
    <w:link w:val="872"/>
    <w:uiPriority w:val="99"/>
    <w:semiHidden/>
    <w:unhideWhenUsed/>
    <w:pPr>
      <w:spacing w:after="40" w:line="240" w:lineRule="auto"/>
    </w:pPr>
    <w:rPr>
      <w:sz w:val="18"/>
    </w:rPr>
  </w:style>
  <w:style w:type="character" w:styleId="872">
    <w:name w:val="Footnote Text Char"/>
    <w:link w:val="871"/>
    <w:uiPriority w:val="99"/>
    <w:rPr>
      <w:sz w:val="18"/>
    </w:rPr>
  </w:style>
  <w:style w:type="character" w:styleId="873">
    <w:name w:val="footnote reference"/>
    <w:basedOn w:val="892"/>
    <w:uiPriority w:val="99"/>
    <w:unhideWhenUsed/>
    <w:rPr>
      <w:vertAlign w:val="superscript"/>
    </w:rPr>
  </w:style>
  <w:style w:type="paragraph" w:styleId="874">
    <w:name w:val="endnote text"/>
    <w:basedOn w:val="888"/>
    <w:link w:val="875"/>
    <w:uiPriority w:val="99"/>
    <w:semiHidden/>
    <w:unhideWhenUsed/>
    <w:pPr>
      <w:spacing w:after="0" w:line="240" w:lineRule="auto"/>
    </w:pPr>
    <w:rPr>
      <w:sz w:val="20"/>
    </w:rPr>
  </w:style>
  <w:style w:type="character" w:styleId="875">
    <w:name w:val="Endnote Text Char"/>
    <w:link w:val="874"/>
    <w:uiPriority w:val="99"/>
    <w:rPr>
      <w:sz w:val="20"/>
    </w:rPr>
  </w:style>
  <w:style w:type="character" w:styleId="876">
    <w:name w:val="endnote reference"/>
    <w:basedOn w:val="892"/>
    <w:uiPriority w:val="99"/>
    <w:semiHidden/>
    <w:unhideWhenUsed/>
    <w:rPr>
      <w:vertAlign w:val="superscript"/>
    </w:rPr>
  </w:style>
  <w:style w:type="paragraph" w:styleId="877">
    <w:name w:val="toc 1"/>
    <w:basedOn w:val="888"/>
    <w:next w:val="888"/>
    <w:uiPriority w:val="39"/>
    <w:unhideWhenUsed/>
    <w:pPr>
      <w:ind w:left="0" w:right="0" w:firstLine="0"/>
      <w:spacing w:after="57"/>
    </w:pPr>
  </w:style>
  <w:style w:type="paragraph" w:styleId="878">
    <w:name w:val="toc 2"/>
    <w:basedOn w:val="888"/>
    <w:next w:val="888"/>
    <w:uiPriority w:val="39"/>
    <w:unhideWhenUsed/>
    <w:pPr>
      <w:ind w:left="283" w:right="0" w:firstLine="0"/>
      <w:spacing w:after="57"/>
    </w:pPr>
  </w:style>
  <w:style w:type="paragraph" w:styleId="879">
    <w:name w:val="toc 3"/>
    <w:basedOn w:val="888"/>
    <w:next w:val="888"/>
    <w:uiPriority w:val="39"/>
    <w:unhideWhenUsed/>
    <w:pPr>
      <w:ind w:left="567" w:right="0" w:firstLine="0"/>
      <w:spacing w:after="57"/>
    </w:pPr>
  </w:style>
  <w:style w:type="paragraph" w:styleId="880">
    <w:name w:val="toc 4"/>
    <w:basedOn w:val="888"/>
    <w:next w:val="888"/>
    <w:uiPriority w:val="39"/>
    <w:unhideWhenUsed/>
    <w:pPr>
      <w:ind w:left="850" w:right="0" w:firstLine="0"/>
      <w:spacing w:after="57"/>
    </w:pPr>
  </w:style>
  <w:style w:type="paragraph" w:styleId="881">
    <w:name w:val="toc 5"/>
    <w:basedOn w:val="888"/>
    <w:next w:val="888"/>
    <w:uiPriority w:val="39"/>
    <w:unhideWhenUsed/>
    <w:pPr>
      <w:ind w:left="1134" w:right="0" w:firstLine="0"/>
      <w:spacing w:after="57"/>
    </w:pPr>
  </w:style>
  <w:style w:type="paragraph" w:styleId="882">
    <w:name w:val="toc 6"/>
    <w:basedOn w:val="888"/>
    <w:next w:val="888"/>
    <w:uiPriority w:val="39"/>
    <w:unhideWhenUsed/>
    <w:pPr>
      <w:ind w:left="1417" w:right="0" w:firstLine="0"/>
      <w:spacing w:after="57"/>
    </w:pPr>
  </w:style>
  <w:style w:type="paragraph" w:styleId="883">
    <w:name w:val="toc 7"/>
    <w:basedOn w:val="888"/>
    <w:next w:val="888"/>
    <w:uiPriority w:val="39"/>
    <w:unhideWhenUsed/>
    <w:pPr>
      <w:ind w:left="1701" w:right="0" w:firstLine="0"/>
      <w:spacing w:after="57"/>
    </w:pPr>
  </w:style>
  <w:style w:type="paragraph" w:styleId="884">
    <w:name w:val="toc 8"/>
    <w:basedOn w:val="888"/>
    <w:next w:val="888"/>
    <w:uiPriority w:val="39"/>
    <w:unhideWhenUsed/>
    <w:pPr>
      <w:ind w:left="1984" w:right="0" w:firstLine="0"/>
      <w:spacing w:after="57"/>
    </w:pPr>
  </w:style>
  <w:style w:type="paragraph" w:styleId="885">
    <w:name w:val="toc 9"/>
    <w:basedOn w:val="888"/>
    <w:next w:val="888"/>
    <w:uiPriority w:val="39"/>
    <w:unhideWhenUsed/>
    <w:pPr>
      <w:ind w:left="2268" w:right="0" w:firstLine="0"/>
      <w:spacing w:after="57"/>
    </w:pPr>
  </w:style>
  <w:style w:type="paragraph" w:styleId="886">
    <w:name w:val="TOC Heading"/>
    <w:uiPriority w:val="39"/>
    <w:unhideWhenUsed/>
  </w:style>
  <w:style w:type="paragraph" w:styleId="887">
    <w:name w:val="table of figures"/>
    <w:basedOn w:val="888"/>
    <w:next w:val="888"/>
    <w:uiPriority w:val="99"/>
    <w:unhideWhenUsed/>
    <w:pPr>
      <w:spacing w:after="0" w:afterAutospacing="0"/>
    </w:pPr>
  </w:style>
  <w:style w:type="paragraph" w:styleId="888" w:default="1">
    <w:name w:val="Normal"/>
    <w:qFormat/>
    <w:rPr>
      <w:sz w:val="24"/>
      <w:szCs w:val="24"/>
    </w:rPr>
  </w:style>
  <w:style w:type="paragraph" w:styleId="889">
    <w:name w:val="Heading 1"/>
    <w:basedOn w:val="888"/>
    <w:next w:val="888"/>
    <w:qFormat/>
    <w:pPr>
      <w:numPr>
        <w:ilvl w:val="0"/>
        <w:numId w:val="1"/>
      </w:numPr>
      <w:keepNext/>
      <w:outlineLvl w:val="0"/>
    </w:pPr>
    <w:rPr>
      <w:b/>
      <w:bCs/>
      <w:szCs w:val="28"/>
    </w:rPr>
  </w:style>
  <w:style w:type="paragraph" w:styleId="890">
    <w:name w:val="Heading 2"/>
    <w:basedOn w:val="888"/>
    <w:next w:val="888"/>
    <w:qFormat/>
    <w:pPr>
      <w:numPr>
        <w:ilvl w:val="1"/>
        <w:numId w:val="1"/>
      </w:numPr>
      <w:jc w:val="center"/>
      <w:keepNext/>
      <w:shd w:val="clear" w:color="auto" w:fill="ffffff"/>
      <w:outlineLvl w:val="1"/>
    </w:pPr>
    <w:rPr>
      <w:b/>
      <w:bCs/>
      <w:color w:val="404040"/>
      <w:sz w:val="20"/>
      <w:szCs w:val="20"/>
    </w:rPr>
  </w:style>
  <w:style w:type="paragraph" w:styleId="891">
    <w:name w:val="Heading 3"/>
    <w:basedOn w:val="888"/>
    <w:next w:val="888"/>
    <w:link w:val="905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892" w:default="1">
    <w:name w:val="Default Paragraph Font"/>
    <w:uiPriority w:val="1"/>
    <w:semiHidden/>
    <w:unhideWhenUsed/>
  </w:style>
  <w:style w:type="table" w:styleId="89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4" w:default="1">
    <w:name w:val="No List"/>
    <w:uiPriority w:val="99"/>
    <w:semiHidden/>
    <w:unhideWhenUsed/>
  </w:style>
  <w:style w:type="paragraph" w:styleId="895">
    <w:name w:val="Body Text Indent 2"/>
    <w:basedOn w:val="888"/>
    <w:pPr>
      <w:ind w:left="720"/>
      <w:spacing w:line="360" w:lineRule="auto"/>
    </w:pPr>
    <w:rPr>
      <w:szCs w:val="28"/>
    </w:rPr>
  </w:style>
  <w:style w:type="table" w:styleId="896">
    <w:name w:val="Table Grid"/>
    <w:basedOn w:val="893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97">
    <w:name w:val="Body Text"/>
    <w:basedOn w:val="888"/>
    <w:link w:val="903"/>
    <w:pPr>
      <w:spacing w:after="120"/>
    </w:pPr>
  </w:style>
  <w:style w:type="paragraph" w:styleId="898">
    <w:name w:val="Balloon Text"/>
    <w:basedOn w:val="888"/>
    <w:semiHidden/>
    <w:rPr>
      <w:rFonts w:ascii="Tahoma" w:hAnsi="Tahoma" w:cs="Tahoma"/>
      <w:sz w:val="16"/>
      <w:szCs w:val="16"/>
    </w:rPr>
  </w:style>
  <w:style w:type="paragraph" w:styleId="899">
    <w:name w:val="List Number"/>
    <w:basedOn w:val="888"/>
    <w:pPr>
      <w:numPr>
        <w:ilvl w:val="0"/>
        <w:numId w:val="2"/>
      </w:numPr>
      <w:jc w:val="both"/>
      <w:spacing w:before="60" w:line="360" w:lineRule="auto"/>
    </w:pPr>
    <w:rPr>
      <w:sz w:val="28"/>
    </w:rPr>
  </w:style>
  <w:style w:type="paragraph" w:styleId="900" w:customStyle="1">
    <w:name w:val="Знак Знак Знак Знак Знак Знак"/>
    <w:basedOn w:val="888"/>
    <w:next w:val="889"/>
    <w:pPr>
      <w:jc w:val="both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901">
    <w:name w:val="Body Text Indent 3"/>
    <w:basedOn w:val="888"/>
    <w:link w:val="902"/>
    <w:pPr>
      <w:ind w:left="283"/>
      <w:spacing w:after="120"/>
    </w:pPr>
    <w:rPr>
      <w:sz w:val="16"/>
      <w:szCs w:val="16"/>
    </w:rPr>
  </w:style>
  <w:style w:type="character" w:styleId="902" w:customStyle="1">
    <w:name w:val="Основной текст с отступом 3 Знак"/>
    <w:link w:val="901"/>
    <w:rPr>
      <w:sz w:val="16"/>
      <w:szCs w:val="16"/>
    </w:rPr>
  </w:style>
  <w:style w:type="character" w:styleId="903" w:customStyle="1">
    <w:name w:val="Основной текст Знак"/>
    <w:link w:val="897"/>
    <w:rPr>
      <w:sz w:val="24"/>
      <w:szCs w:val="24"/>
    </w:rPr>
  </w:style>
  <w:style w:type="paragraph" w:styleId="904" w:customStyle="1">
    <w:name w:val="Основной текст 21"/>
    <w:basedOn w:val="888"/>
    <w:pPr>
      <w:ind w:left="113" w:right="232"/>
      <w:jc w:val="both"/>
      <w:spacing w:after="120" w:line="240" w:lineRule="exact"/>
    </w:pPr>
    <w:rPr>
      <w:rFonts w:ascii="Calibri" w:hAnsi="Calibri" w:eastAsia="Calibri"/>
      <w:sz w:val="22"/>
      <w:szCs w:val="22"/>
      <w:lang w:eastAsia="en-US"/>
    </w:rPr>
  </w:style>
  <w:style w:type="character" w:styleId="905" w:customStyle="1">
    <w:name w:val="Заголовок 3 Знак"/>
    <w:link w:val="891"/>
    <w:rPr>
      <w:rFonts w:ascii="Cambria" w:hAnsi="Cambria" w:eastAsia="Times New Roman" w:cs="Times New Roman"/>
      <w:b/>
      <w:bCs/>
      <w:sz w:val="26"/>
      <w:szCs w:val="26"/>
    </w:rPr>
  </w:style>
  <w:style w:type="paragraph" w:styleId="906">
    <w:name w:val="Body Text 3"/>
    <w:basedOn w:val="888"/>
    <w:link w:val="907"/>
    <w:pPr>
      <w:spacing w:after="120"/>
    </w:pPr>
    <w:rPr>
      <w:sz w:val="16"/>
      <w:szCs w:val="16"/>
    </w:rPr>
  </w:style>
  <w:style w:type="character" w:styleId="907" w:customStyle="1">
    <w:name w:val="Основной текст 3 Знак"/>
    <w:link w:val="906"/>
    <w:rPr>
      <w:sz w:val="16"/>
      <w:szCs w:val="16"/>
    </w:rPr>
  </w:style>
  <w:style w:type="paragraph" w:styleId="908">
    <w:name w:val="Body Text 2"/>
    <w:basedOn w:val="888"/>
    <w:link w:val="909"/>
    <w:pPr>
      <w:spacing w:after="120" w:line="480" w:lineRule="auto"/>
    </w:pPr>
  </w:style>
  <w:style w:type="character" w:styleId="909" w:customStyle="1">
    <w:name w:val="Основной текст 2 Знак"/>
    <w:link w:val="908"/>
    <w:rPr>
      <w:sz w:val="24"/>
      <w:szCs w:val="24"/>
    </w:rPr>
  </w:style>
  <w:style w:type="paragraph" w:styleId="910">
    <w:name w:val="Footer"/>
    <w:basedOn w:val="888"/>
    <w:link w:val="911"/>
    <w:pPr>
      <w:tabs>
        <w:tab w:val="center" w:pos="4677" w:leader="none"/>
        <w:tab w:val="right" w:pos="9355" w:leader="none"/>
      </w:tabs>
    </w:pPr>
  </w:style>
  <w:style w:type="character" w:styleId="911" w:customStyle="1">
    <w:name w:val="Нижний колонтитул Знак"/>
    <w:link w:val="910"/>
    <w:rPr>
      <w:sz w:val="24"/>
      <w:szCs w:val="24"/>
    </w:rPr>
  </w:style>
  <w:style w:type="paragraph" w:styleId="912">
    <w:name w:val="Body Text Indent"/>
    <w:basedOn w:val="888"/>
    <w:link w:val="913"/>
    <w:pPr>
      <w:ind w:left="283"/>
      <w:spacing w:after="120"/>
    </w:pPr>
  </w:style>
  <w:style w:type="character" w:styleId="913" w:customStyle="1">
    <w:name w:val="Основной текст с отступом Знак"/>
    <w:link w:val="912"/>
    <w:rPr>
      <w:sz w:val="24"/>
      <w:szCs w:val="24"/>
    </w:rPr>
  </w:style>
  <w:style w:type="character" w:styleId="914">
    <w:name w:val="annotation reference"/>
    <w:uiPriority w:val="99"/>
    <w:rPr>
      <w:sz w:val="16"/>
      <w:szCs w:val="16"/>
    </w:rPr>
  </w:style>
  <w:style w:type="paragraph" w:styleId="915">
    <w:name w:val="annotation text"/>
    <w:basedOn w:val="888"/>
    <w:link w:val="916"/>
    <w:uiPriority w:val="99"/>
    <w:rPr>
      <w:sz w:val="20"/>
      <w:szCs w:val="20"/>
    </w:rPr>
  </w:style>
  <w:style w:type="character" w:styleId="916" w:customStyle="1">
    <w:name w:val="Текст примечания Знак"/>
    <w:basedOn w:val="892"/>
    <w:link w:val="915"/>
    <w:uiPriority w:val="99"/>
  </w:style>
  <w:style w:type="paragraph" w:styleId="917">
    <w:name w:val="List Paragraph"/>
    <w:basedOn w:val="888"/>
    <w:link w:val="924"/>
    <w:uiPriority w:val="34"/>
    <w:qFormat/>
    <w:pPr>
      <w:contextualSpacing/>
      <w:ind w:left="720"/>
    </w:pPr>
    <w:rPr>
      <w:sz w:val="20"/>
      <w:szCs w:val="20"/>
    </w:rPr>
  </w:style>
  <w:style w:type="paragraph" w:styleId="918" w:customStyle="1">
    <w:name w:val="Body Text 21"/>
    <w:basedOn w:val="888"/>
    <w:pPr>
      <w:ind w:firstLine="709"/>
      <w:jc w:val="both"/>
    </w:pPr>
    <w:rPr>
      <w:szCs w:val="20"/>
    </w:rPr>
  </w:style>
  <w:style w:type="paragraph" w:styleId="919">
    <w:name w:val="Header"/>
    <w:basedOn w:val="888"/>
    <w:link w:val="920"/>
    <w:uiPriority w:val="99"/>
    <w:pPr>
      <w:tabs>
        <w:tab w:val="center" w:pos="4677" w:leader="none"/>
        <w:tab w:val="right" w:pos="9355" w:leader="none"/>
      </w:tabs>
    </w:pPr>
  </w:style>
  <w:style w:type="character" w:styleId="920" w:customStyle="1">
    <w:name w:val="Верхний колонтитул Знак"/>
    <w:link w:val="919"/>
    <w:uiPriority w:val="99"/>
    <w:rPr>
      <w:sz w:val="24"/>
      <w:szCs w:val="24"/>
    </w:rPr>
  </w:style>
  <w:style w:type="paragraph" w:styleId="921" w:customStyle="1">
    <w:name w:val="tblock"/>
    <w:basedOn w:val="88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styleId="922" w:customStyle="1">
    <w:name w:val="apple-style-span"/>
    <w:basedOn w:val="892"/>
  </w:style>
  <w:style w:type="character" w:styleId="923" w:customStyle="1">
    <w:name w:val="apple-converted-space"/>
    <w:basedOn w:val="892"/>
  </w:style>
  <w:style w:type="character" w:styleId="924" w:customStyle="1">
    <w:name w:val="Абзац списка Знак"/>
    <w:basedOn w:val="892"/>
    <w:link w:val="917"/>
    <w:uiPriority w:val="34"/>
    <w:qFormat/>
  </w:style>
  <w:style w:type="paragraph" w:styleId="925">
    <w:name w:val="Normal (Web)"/>
    <w:basedOn w:val="888"/>
    <w:uiPriority w:val="99"/>
    <w:unhideWhenUsed/>
    <w:pPr>
      <w:spacing w:before="100" w:beforeAutospacing="1" w:after="100" w:afterAutospacing="1"/>
    </w:pPr>
  </w:style>
  <w:style w:type="character" w:styleId="926" w:customStyle="1">
    <w:name w:val="grame"/>
    <w:basedOn w:val="892"/>
  </w:style>
  <w:style w:type="character" w:styleId="927">
    <w:name w:val="Strong"/>
    <w:uiPriority w:val="22"/>
    <w:qFormat/>
    <w:rPr>
      <w:b/>
      <w:bCs/>
    </w:rPr>
  </w:style>
  <w:style w:type="paragraph" w:styleId="928">
    <w:name w:val="annotation subject"/>
    <w:basedOn w:val="915"/>
    <w:next w:val="915"/>
    <w:link w:val="929"/>
    <w:rPr>
      <w:b/>
      <w:bCs/>
    </w:rPr>
  </w:style>
  <w:style w:type="character" w:styleId="929" w:customStyle="1">
    <w:name w:val="Тема примечания Знак"/>
    <w:basedOn w:val="916"/>
    <w:link w:val="928"/>
    <w:rPr>
      <w:b/>
      <w:bCs/>
    </w:rPr>
  </w:style>
  <w:style w:type="paragraph" w:styleId="930">
    <w:name w:val="Revision"/>
    <w:hidden/>
    <w:uiPriority w:val="99"/>
    <w:semiHidden/>
    <w:rPr>
      <w:sz w:val="24"/>
      <w:szCs w:val="24"/>
    </w:rPr>
  </w:style>
  <w:style w:type="paragraph" w:styleId="931" w:customStyle="1">
    <w:name w:val="Default"/>
    <w:rPr>
      <w:color w:val="000000"/>
      <w:sz w:val="24"/>
      <w:szCs w:val="24"/>
    </w:rPr>
  </w:style>
  <w:style w:type="character" w:styleId="932" w:customStyle="1">
    <w:name w:val="A2+11"/>
    <w:uiPriority w:val="99"/>
    <w:rPr>
      <w:color w:val="000000"/>
      <w:sz w:val="18"/>
      <w:szCs w:val="18"/>
    </w:rPr>
  </w:style>
  <w:style w:type="character" w:styleId="933">
    <w:name w:val="Hyperlink"/>
    <w:basedOn w:val="892"/>
    <w:unhideWhenUsed/>
    <w:rPr>
      <w:color w:val="0000ff" w:themeColor="hyperlink"/>
      <w:u w:val="single"/>
    </w:rPr>
  </w:style>
  <w:style w:type="character" w:styleId="934" w:customStyle="1">
    <w:name w:val="Неразрешенное упоминание1"/>
    <w:basedOn w:val="892"/>
    <w:uiPriority w:val="99"/>
    <w:semiHidden/>
    <w:unhideWhenUsed/>
    <w:rPr>
      <w:color w:val="605e5c"/>
      <w:shd w:val="clear" w:color="auto" w:fill="e1dfdd"/>
    </w:rPr>
  </w:style>
  <w:style w:type="character" w:styleId="935" w:customStyle="1">
    <w:name w:val="Unresolved Mention"/>
    <w:basedOn w:val="892"/>
    <w:uiPriority w:val="99"/>
    <w:semiHidden/>
    <w:unhideWhenUsed/>
    <w:rPr>
      <w:color w:val="605e5c"/>
      <w:shd w:val="clear" w:color="auto" w:fill="e1dfdd"/>
    </w:rPr>
  </w:style>
  <w:style w:type="character" w:styleId="936">
    <w:name w:val="FollowedHyperlink"/>
    <w:basedOn w:val="892"/>
    <w:semiHidden/>
    <w:unhideWhenUsed/>
    <w:rPr>
      <w:color w:val="800080" w:themeColor="followedHyperlink"/>
      <w:u w:val="single"/>
    </w:rPr>
  </w:style>
  <w:style w:type="table" w:styleId="937" w:customStyle="1">
    <w:name w:val="Сетка таблицы1"/>
    <w:basedOn w:val="893"/>
    <w:next w:val="896"/>
    <w:uiPriority w:val="59"/>
    <w:rPr>
      <w:rFonts w:ascii="Calibri" w:hAnsi="Calibri" w:eastAsia="Calibri"/>
      <w:sz w:val="22"/>
      <w:szCs w:val="22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38">
    <w:name w:val="No Spacing"/>
    <w:uiPriority w:val="1"/>
    <w:qFormat/>
    <w:rPr>
      <w:sz w:val="24"/>
      <w:szCs w:val="24"/>
    </w:rPr>
  </w:style>
  <w:style w:type="paragraph" w:styleId="939" w:customStyle="1">
    <w:name w:val="Абзац списка;Нумерованый список;List Paragraph1"/>
    <w:basedOn w:val="888"/>
    <w:link w:val="940"/>
    <w:uiPriority w:val="34"/>
    <w:qFormat/>
    <w:pPr>
      <w:contextualSpacing/>
      <w:ind w:left="720" w:firstLine="851"/>
      <w:jc w:val="both"/>
    </w:pPr>
    <w:rPr>
      <w:sz w:val="20"/>
      <w:szCs w:val="20"/>
    </w:rPr>
  </w:style>
  <w:style w:type="character" w:styleId="940" w:customStyle="1">
    <w:name w:val="Абзац списка Знак;Нумерованый список Знак;List Paragraph1 Знак"/>
    <w:link w:val="939"/>
    <w:uiPriority w:val="34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2D6F6-8086-4F1C-8621-587B49A29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mrsk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revision>4</cp:revision>
  <dcterms:created xsi:type="dcterms:W3CDTF">2026-06-04T11:08:00Z</dcterms:created>
  <dcterms:modified xsi:type="dcterms:W3CDTF">2026-07-15T05:53:03Z</dcterms:modified>
</cp:coreProperties>
</file>